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2F" w:rsidRPr="00DF722F" w:rsidRDefault="00DF722F" w:rsidP="00DF722F">
      <w:pPr>
        <w:pBdr>
          <w:bottom w:val="single" w:sz="6" w:space="7" w:color="EEEEEE"/>
        </w:pBdr>
        <w:spacing w:before="600" w:after="300" w:line="240" w:lineRule="auto"/>
        <w:outlineLvl w:val="0"/>
        <w:rPr>
          <w:rFonts w:ascii="Times New Roman" w:eastAsia="Times New Roman" w:hAnsi="Times New Roman" w:cs="Times New Roman"/>
          <w:color w:val="101010"/>
          <w:kern w:val="36"/>
          <w:sz w:val="28"/>
          <w:szCs w:val="28"/>
          <w:lang w:eastAsia="ru-RU"/>
        </w:rPr>
      </w:pPr>
      <w:r w:rsidRPr="00DF722F">
        <w:rPr>
          <w:rFonts w:ascii="Times New Roman" w:eastAsia="Times New Roman" w:hAnsi="Times New Roman" w:cs="Times New Roman"/>
          <w:color w:val="101010"/>
          <w:kern w:val="36"/>
          <w:sz w:val="28"/>
          <w:szCs w:val="28"/>
          <w:lang w:eastAsia="ru-RU"/>
        </w:rPr>
        <w:t>О порядке предоставления компенсации по уплате взноса на капитальный ремонт, гражданам, достигшим возраста 70 и 80 лет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 xml:space="preserve">В Тюменской области принят Закон от 18.02.2016 г. № 5 «О внесении изменения в Закон Тюменской области «О социальной поддержке отдельных категорий граждан в </w:t>
      </w:r>
      <w:bookmarkStart w:id="0" w:name="_GoBack"/>
      <w:r w:rsidRPr="00DF722F">
        <w:rPr>
          <w:color w:val="101010"/>
        </w:rPr>
        <w:t xml:space="preserve">Тюменской области», которым с 1 января 2016 года гражданам, достигшим 70-, 80-летнего </w:t>
      </w:r>
      <w:bookmarkEnd w:id="0"/>
      <w:r w:rsidRPr="00DF722F">
        <w:rPr>
          <w:color w:val="101010"/>
        </w:rPr>
        <w:t>возраста, предоставлено право на получение компенсации по уплате взноса на капитальный ремонт следующим категориям граждан: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proofErr w:type="gramStart"/>
      <w:r w:rsidRPr="00DF722F">
        <w:rPr>
          <w:color w:val="101010"/>
        </w:rPr>
        <w:t>а</w:t>
      </w:r>
      <w:proofErr w:type="gramEnd"/>
      <w:r w:rsidRPr="00DF722F">
        <w:rPr>
          <w:color w:val="101010"/>
        </w:rPr>
        <w:t>) одиноко проживающим неработающим собственникам жилых помещений: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достигшим возраста 70 лет, - в размере 50 %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достигшим возраста 80 лет, - в размере 100 %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proofErr w:type="gramStart"/>
      <w:r w:rsidRPr="00DF722F">
        <w:rPr>
          <w:color w:val="101010"/>
        </w:rPr>
        <w:t>б</w:t>
      </w:r>
      <w:proofErr w:type="gramEnd"/>
      <w:r w:rsidRPr="00DF722F">
        <w:rPr>
          <w:color w:val="101010"/>
        </w:rPr>
        <w:t>) проживающим в составе семьи, состоящей только из совместно проживающих неработающих граждан пенсионного возраста, собственникам жилых помещений: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достигшим возраста 70 лет, - в размере 50 %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достигшим возраста 80 лет, - в размере 100 %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 xml:space="preserve">Размер компенсации определяется исходя из минимального размера взноса на капитальный ремонт на один квадратный метр общей площади жилого помещения в месяц, установленного постановлением Правительства Тюменской области, и регионального стандарта нормативной площади жилого помещения, используемой для расчета субсидий на оплату жилого помещения и коммунальных услуг (это 36 </w:t>
      </w:r>
      <w:proofErr w:type="spellStart"/>
      <w:r w:rsidRPr="00DF722F">
        <w:rPr>
          <w:color w:val="101010"/>
        </w:rPr>
        <w:t>кв.м</w:t>
      </w:r>
      <w:proofErr w:type="spellEnd"/>
      <w:r w:rsidRPr="00DF722F">
        <w:rPr>
          <w:color w:val="101010"/>
        </w:rPr>
        <w:t xml:space="preserve">. – на одиноко проживающего гражданина, 18 </w:t>
      </w:r>
      <w:proofErr w:type="spellStart"/>
      <w:r w:rsidRPr="00DF722F">
        <w:rPr>
          <w:color w:val="101010"/>
        </w:rPr>
        <w:t>кв.м</w:t>
      </w:r>
      <w:proofErr w:type="spellEnd"/>
      <w:r w:rsidRPr="00DF722F">
        <w:rPr>
          <w:color w:val="101010"/>
        </w:rPr>
        <w:t>. – для граждан, проживающих в семье). Минимальный размер взноса на капитальный ремонт общего имущества в многоквартирном доме в месяц в расчете на один квадратный метр жилого (нежилого) помещения в многоквартирном доме установлен постановлением Правительства Тюменской области и составляет 7,5 рублей.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В соответствии с постановлением Правительства Тюменской области от 25.02.2016 г. №54-п «Об утверждении Порядка предоставления ежемесячной компенсации расходов на уплату взноса на капитальный ремонт общего имущества в многоквартирном доме» предоставление данной меры социальной поддержки осуществляется при соблюдении следующих условий: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lastRenderedPageBreak/>
        <w:t>• граждане, достигшие 70-,80-летнего возраста, должны являться собственниками жилых помещений;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компенсация предоставляется в отношении жилого помещения, в котором гражданин имеет регистрацию по месту постоянного жительства (прописку);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компенсация предоставляется неработающим гражданам, достигшим 70-,80-летнего возраста;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выплата компенсации производится при отсутствии задолженности по уплате взносов на капитальный ремонт;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• компенсация предоставляется гражданину либо как льготнику, либо как достигшему установленного возраста.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color w:val="101010"/>
        </w:rPr>
        <w:t>Компенсация на уплату взноса на капитальный ремонт гражданам, не относящимся к льготным категориям и достигшим установленного возраста, сведения о которых имеются в информационной системе органов социальной защиты населения, будет предоставляться без дополнительного заявления, автоматически. В случае, если гражданин имеет право на возмещение расходов на капитальный ремонт как льготник и по достижению установленного возраста одновременно, выплата будет осуществляться по одному наиболее выгодному для него основанию.</w:t>
      </w:r>
    </w:p>
    <w:p w:rsidR="00307957" w:rsidRPr="00DF722F" w:rsidRDefault="00307957" w:rsidP="00DF722F">
      <w:pPr>
        <w:pStyle w:val="a3"/>
        <w:spacing w:after="0" w:afterAutospacing="0" w:line="360" w:lineRule="auto"/>
        <w:ind w:firstLine="709"/>
        <w:jc w:val="both"/>
        <w:rPr>
          <w:color w:val="101010"/>
        </w:rPr>
      </w:pPr>
      <w:r w:rsidRPr="00DF722F">
        <w:rPr>
          <w:rStyle w:val="a4"/>
          <w:color w:val="101010"/>
        </w:rPr>
        <w:t>В случае возникновения вопросов по выплате компенсации по уплате взносов на капитальный ремонт можно обращаться в информационную справочную службу Тюменской области по телефону - 8 800 200 0591.</w:t>
      </w:r>
    </w:p>
    <w:p w:rsidR="00694E5E" w:rsidRDefault="00694E5E"/>
    <w:sectPr w:rsidR="0069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5E"/>
    <w:rsid w:val="00307957"/>
    <w:rsid w:val="00694E5E"/>
    <w:rsid w:val="00D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90833-E410-4ACE-832A-5A621D9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95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72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5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2016-08-01T04:53:00Z</dcterms:created>
  <dcterms:modified xsi:type="dcterms:W3CDTF">2016-08-01T05:06:00Z</dcterms:modified>
</cp:coreProperties>
</file>