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/>
        <w:jc w:val="center"/>
        <w:rPr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УВАЖАЕМЫЕ СОБСТВЕННИКИ!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</w:t>
      </w: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  <w:t>.</w:t>
      </w:r>
    </w:p>
    <w:tbl>
      <w:tblPr>
        <w:tblStyle w:val="3"/>
        <w:tblW w:w="1032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841"/>
        <w:gridCol w:w="3901"/>
      </w:tblGrid>
      <w:tr>
        <w:trPr>
          <w:trHeight w:val="1033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ул. Е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.Богдановича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41,81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Обслуживание общего имущества, 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-Техническое обслуживание общего имущества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тепловой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воды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Содержание коллективных приборов учета электрической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блока автоматизации теплового пункта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теплообменников (бойлеров)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домофонов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антенного оборудования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 xml:space="preserve"> пандуса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системы диспетчеризации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10,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6,55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5,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 xml:space="preserve"> (свыше 2500м.кв.)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в) озеленение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7,20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>
        <w:trPr>
          <w:trHeight w:val="451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Содержание лифтового оборудования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6,27</w:t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  <w:lang w:val="ru-RU"/>
        </w:rPr>
      </w:pP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С Уважением,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ООО «Евродом» Тел.: 8 (3452) 56-80-70</w:t>
      </w:r>
    </w:p>
    <w:sectPr>
      <w:type w:val="nextPage"/>
      <w:pgSz w:w="11906" w:h="16838"/>
      <w:pgMar w:left="794" w:right="794" w:gutter="0" w:header="0" w:top="227" w:footer="0" w:bottom="17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LibreOffice/25.2.7.2$Windows_X86_64 LibreOffice_project/5cbfd1ab6520636bb5f7b99185aa69bd7456825d</Application>
  <AppVersion>15.0000</AppVersion>
  <Pages>1</Pages>
  <Words>225</Words>
  <Characters>1539</Characters>
  <CharactersWithSpaces>1707</CharactersWithSpaces>
  <Paragraphs>62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2025-11-28T10:57:40Z</cp:lastPrinted>
  <dcterms:modified xsi:type="dcterms:W3CDTF">2025-11-28T14:40:17Z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1049-12.2.0.13306</vt:lpwstr>
  </property>
</Properties>
</file>